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868F" w14:textId="514CC0A3" w:rsidR="00BA664B" w:rsidRDefault="00E54FF6" w:rsidP="006D4C60">
      <w:pPr>
        <w:jc w:val="both"/>
        <w:rPr>
          <w:b/>
          <w:bCs/>
        </w:rPr>
      </w:pPr>
      <w:r w:rsidRPr="00E54FF6">
        <w:rPr>
          <w:b/>
          <w:bCs/>
        </w:rPr>
        <w:t>Uute meditsiinilabori uuringute kliinilise tõenduspõhisuse hindamine LOINC koodide omistamiseks</w:t>
      </w:r>
      <w:r>
        <w:rPr>
          <w:b/>
          <w:bCs/>
        </w:rPr>
        <w:t xml:space="preserve"> </w:t>
      </w:r>
    </w:p>
    <w:p w14:paraId="4F4F18DA" w14:textId="170D304C" w:rsidR="00E840BB" w:rsidRDefault="00DF077A" w:rsidP="006D4C60">
      <w:pPr>
        <w:jc w:val="both"/>
      </w:pPr>
      <w:r>
        <w:t>Eesti Laborimeditsiini Ühingu laboriarstide sektsioon</w:t>
      </w:r>
    </w:p>
    <w:p w14:paraId="493751FE" w14:textId="63FA3DDE" w:rsidR="00E840BB" w:rsidRDefault="00E840BB"/>
    <w:p w14:paraId="12244A90" w14:textId="0BFF1946" w:rsidR="00DF077A" w:rsidRPr="00DF077A" w:rsidRDefault="00DF077A">
      <w:pPr>
        <w:rPr>
          <w:b/>
        </w:rPr>
      </w:pPr>
      <w:r w:rsidRPr="00DF077A">
        <w:rPr>
          <w:b/>
        </w:rPr>
        <w:t>Taustaandmed</w:t>
      </w:r>
    </w:p>
    <w:p w14:paraId="4B8B3ED8" w14:textId="47F1B2C3" w:rsidR="000F61C2" w:rsidRDefault="00DF3D25" w:rsidP="002111CB">
      <w:pPr>
        <w:jc w:val="both"/>
      </w:pPr>
      <w:r>
        <w:t>E-labori haldamise rakendus (</w:t>
      </w:r>
      <w:proofErr w:type="spellStart"/>
      <w:r>
        <w:t>e</w:t>
      </w:r>
      <w:r w:rsidR="004E4CB2" w:rsidRPr="00CC121E">
        <w:t>LHR</w:t>
      </w:r>
      <w:proofErr w:type="spellEnd"/>
      <w:r>
        <w:t>)</w:t>
      </w:r>
      <w:r w:rsidR="004E4CB2">
        <w:t xml:space="preserve"> kuulub riigi infosüsteemi</w:t>
      </w:r>
      <w:r w:rsidR="007F78A3">
        <w:t xml:space="preserve"> </w:t>
      </w:r>
      <w:r w:rsidR="004E4CB2">
        <w:t>tervise infosüsteemi (TIS) toetav</w:t>
      </w:r>
      <w:r w:rsidR="007F78A3">
        <w:t>a</w:t>
      </w:r>
      <w:r w:rsidR="004E4CB2">
        <w:t xml:space="preserve"> alamsüsteem</w:t>
      </w:r>
      <w:r w:rsidR="007F78A3">
        <w:t>ina</w:t>
      </w:r>
      <w:r w:rsidR="004E4CB2">
        <w:t xml:space="preserve">. </w:t>
      </w:r>
      <w:proofErr w:type="spellStart"/>
      <w:r w:rsidR="004E4CB2">
        <w:t>ELHRi</w:t>
      </w:r>
      <w:proofErr w:type="spellEnd"/>
      <w:r w:rsidR="004E4CB2">
        <w:t xml:space="preserve"> kogutakse </w:t>
      </w:r>
      <w:r w:rsidR="00C5442F">
        <w:t>Eesti meditsiini</w:t>
      </w:r>
      <w:r w:rsidR="004E4CB2">
        <w:t>labori</w:t>
      </w:r>
      <w:r w:rsidR="00C5442F">
        <w:t>te</w:t>
      </w:r>
      <w:r w:rsidR="00B3479C">
        <w:t>s tehtavate</w:t>
      </w:r>
      <w:r w:rsidR="00C5442F">
        <w:t xml:space="preserve"> </w:t>
      </w:r>
      <w:r w:rsidR="004E4CB2">
        <w:t xml:space="preserve">analüüside andmed LOINC </w:t>
      </w:r>
      <w:r w:rsidR="00E840BB">
        <w:t>klassifikaatori põhjal</w:t>
      </w:r>
      <w:r w:rsidR="00356451">
        <w:t xml:space="preserve"> (</w:t>
      </w:r>
      <w:r w:rsidR="00356451" w:rsidRPr="00356451">
        <w:t>LOINC (</w:t>
      </w:r>
      <w:proofErr w:type="spellStart"/>
      <w:r w:rsidR="00356451" w:rsidRPr="002F1696">
        <w:rPr>
          <w:i/>
          <w:iCs/>
        </w:rPr>
        <w:t>Logical</w:t>
      </w:r>
      <w:proofErr w:type="spellEnd"/>
      <w:r w:rsidR="00356451" w:rsidRPr="002F1696">
        <w:rPr>
          <w:i/>
          <w:iCs/>
        </w:rPr>
        <w:t xml:space="preserve"> </w:t>
      </w:r>
      <w:proofErr w:type="spellStart"/>
      <w:r w:rsidR="00356451" w:rsidRPr="002F1696">
        <w:rPr>
          <w:i/>
          <w:iCs/>
        </w:rPr>
        <w:t>Observation</w:t>
      </w:r>
      <w:proofErr w:type="spellEnd"/>
      <w:r w:rsidR="00356451" w:rsidRPr="002F1696">
        <w:rPr>
          <w:i/>
          <w:iCs/>
        </w:rPr>
        <w:t xml:space="preserve"> </w:t>
      </w:r>
      <w:proofErr w:type="spellStart"/>
      <w:r w:rsidR="00356451" w:rsidRPr="002F1696">
        <w:rPr>
          <w:i/>
          <w:iCs/>
        </w:rPr>
        <w:t>Identifiers</w:t>
      </w:r>
      <w:proofErr w:type="spellEnd"/>
      <w:r w:rsidR="00356451" w:rsidRPr="002F1696">
        <w:rPr>
          <w:i/>
          <w:iCs/>
        </w:rPr>
        <w:t xml:space="preserve"> </w:t>
      </w:r>
      <w:proofErr w:type="spellStart"/>
      <w:r w:rsidR="00356451" w:rsidRPr="002F1696">
        <w:rPr>
          <w:i/>
          <w:iCs/>
        </w:rPr>
        <w:t>Names</w:t>
      </w:r>
      <w:proofErr w:type="spellEnd"/>
      <w:r w:rsidR="00356451" w:rsidRPr="002F1696">
        <w:rPr>
          <w:i/>
          <w:iCs/>
        </w:rPr>
        <w:t xml:space="preserve"> and Codes</w:t>
      </w:r>
      <w:r w:rsidR="00356451" w:rsidRPr="00356451">
        <w:t>) – laboratoorsete uuringute identifitseerimise rahvusvaheline standard ja meditsiiniterminoloogia andmebaas</w:t>
      </w:r>
      <w:r w:rsidR="00356451">
        <w:t>)</w:t>
      </w:r>
      <w:r w:rsidR="00356451" w:rsidRPr="00356451">
        <w:t>.</w:t>
      </w:r>
      <w:r w:rsidR="000F61C2">
        <w:t xml:space="preserve"> </w:t>
      </w:r>
      <w:r w:rsidR="00C5442F">
        <w:t xml:space="preserve">LOINC kood </w:t>
      </w:r>
      <w:r w:rsidR="00D073F1">
        <w:t xml:space="preserve">võimaldab </w:t>
      </w:r>
      <w:r w:rsidR="00CF5462">
        <w:t>uuringute elektroonset tellimist</w:t>
      </w:r>
      <w:r w:rsidR="0039795F">
        <w:t>,</w:t>
      </w:r>
      <w:r w:rsidR="00CF5462">
        <w:t xml:space="preserve"> </w:t>
      </w:r>
      <w:r w:rsidR="00C5442F">
        <w:t xml:space="preserve">tagab meditsiinilabori poolt teostatud laboriuuringu jõudmise patsiendi </w:t>
      </w:r>
      <w:r w:rsidR="00D03265">
        <w:t xml:space="preserve">muude </w:t>
      </w:r>
      <w:r w:rsidR="00C5442F">
        <w:t xml:space="preserve">terviseandmete hulka </w:t>
      </w:r>
      <w:proofErr w:type="spellStart"/>
      <w:r w:rsidR="00CB60D6">
        <w:t>TIS-is</w:t>
      </w:r>
      <w:proofErr w:type="spellEnd"/>
      <w:r w:rsidR="00CB60D6">
        <w:t xml:space="preserve"> ning</w:t>
      </w:r>
      <w:r w:rsidR="00D03265">
        <w:t xml:space="preserve"> võimaldab laboriuuringute tulemuste elektroonset töötlemist</w:t>
      </w:r>
      <w:r w:rsidR="00CB37B6">
        <w:t xml:space="preserve"> </w:t>
      </w:r>
      <w:r w:rsidR="00CB37B6" w:rsidRPr="00CB37B6">
        <w:t>ning infektsioonhaiguste ja ravimresistentsuse riiklikku seiret.</w:t>
      </w:r>
    </w:p>
    <w:p w14:paraId="16379B81" w14:textId="56D3EB5D" w:rsidR="007B245D" w:rsidRDefault="0058640D" w:rsidP="002111CB">
      <w:pPr>
        <w:jc w:val="both"/>
      </w:pPr>
      <w:r>
        <w:t>S</w:t>
      </w:r>
      <w:r w:rsidR="004E4CB2">
        <w:t xml:space="preserve">elleks, et </w:t>
      </w:r>
      <w:proofErr w:type="spellStart"/>
      <w:r w:rsidR="004E4CB2">
        <w:t>TISi</w:t>
      </w:r>
      <w:proofErr w:type="spellEnd"/>
      <w:r w:rsidR="004E4CB2">
        <w:t xml:space="preserve"> kogutavad andmed oleksid kvaliteetsed ja usaldusväärsed</w:t>
      </w:r>
      <w:r w:rsidR="000F61C2">
        <w:t>,</w:t>
      </w:r>
      <w:r>
        <w:t xml:space="preserve"> tegemaks</w:t>
      </w:r>
      <w:r w:rsidR="004E4CB2">
        <w:t xml:space="preserve"> otsuseid haiguste ennetamiseks, diagnoosimiseks ja ravimiseks</w:t>
      </w:r>
      <w:r>
        <w:t>,</w:t>
      </w:r>
      <w:r w:rsidR="00E840BB">
        <w:t xml:space="preserve"> peavad </w:t>
      </w:r>
      <w:r>
        <w:t>ka ELHR</w:t>
      </w:r>
      <w:r w:rsidR="00323546">
        <w:t>-i</w:t>
      </w:r>
      <w:r>
        <w:t xml:space="preserve"> </w:t>
      </w:r>
      <w:r w:rsidR="00E840BB">
        <w:t xml:space="preserve"> </w:t>
      </w:r>
      <w:r>
        <w:t xml:space="preserve">andmed  olema kliiniliselt </w:t>
      </w:r>
      <w:r w:rsidR="00E840BB">
        <w:t>tõenduspõhise</w:t>
      </w:r>
      <w:r>
        <w:t>d</w:t>
      </w:r>
      <w:r w:rsidR="00E840BB">
        <w:t>.</w:t>
      </w:r>
      <w:r w:rsidR="00E840BB" w:rsidRPr="00E840BB">
        <w:t xml:space="preserve"> </w:t>
      </w:r>
      <w:r w:rsidR="00E840BB">
        <w:t xml:space="preserve">Eesti Laborimeditsiini Ühingule </w:t>
      </w:r>
      <w:r w:rsidR="0059267A">
        <w:t>(ELMÜ)</w:t>
      </w:r>
      <w:r w:rsidR="00ED3988">
        <w:t xml:space="preserve"> </w:t>
      </w:r>
      <w:r w:rsidR="00E840BB">
        <w:t xml:space="preserve">kui pädevale erialaorganisatsioonile on </w:t>
      </w:r>
      <w:r w:rsidR="00323546">
        <w:t>s</w:t>
      </w:r>
      <w:r w:rsidR="0055548E">
        <w:t xml:space="preserve">otsiaalministeeriumi poolt </w:t>
      </w:r>
      <w:r w:rsidR="00E840BB">
        <w:t xml:space="preserve">antud ülesanne vastutada </w:t>
      </w:r>
      <w:proofErr w:type="spellStart"/>
      <w:r w:rsidR="00E840BB">
        <w:t>ELHRi</w:t>
      </w:r>
      <w:proofErr w:type="spellEnd"/>
      <w:r w:rsidR="00E840BB">
        <w:t xml:space="preserve"> analüüside nimistu eest </w:t>
      </w:r>
      <w:r w:rsidR="00E30594">
        <w:t xml:space="preserve">ja </w:t>
      </w:r>
      <w:r w:rsidR="00E840BB">
        <w:t>õigus</w:t>
      </w:r>
      <w:r w:rsidR="00323546">
        <w:t xml:space="preserve"> kanda andmebaasi uusi laboriuuringuid</w:t>
      </w:r>
      <w:r w:rsidR="00E840BB">
        <w:t>.</w:t>
      </w:r>
    </w:p>
    <w:p w14:paraId="2F050E85" w14:textId="5D164615" w:rsidR="00E840BB" w:rsidRDefault="00E840BB" w:rsidP="002111CB">
      <w:pPr>
        <w:jc w:val="both"/>
      </w:pPr>
      <w:r>
        <w:t xml:space="preserve">Käesolevas dokumendis </w:t>
      </w:r>
      <w:r w:rsidR="00E30594">
        <w:t>on kirjeldatud</w:t>
      </w:r>
      <w:r w:rsidR="009F6CAD">
        <w:t xml:space="preserve"> </w:t>
      </w:r>
      <w:r w:rsidR="00323546">
        <w:t xml:space="preserve">laboriuuringu ELHR andmebaasi kandmise ja </w:t>
      </w:r>
      <w:r w:rsidR="008019C8">
        <w:t>LOINC koodi andmise aluseks oleva</w:t>
      </w:r>
      <w:r w:rsidR="00E30594">
        <w:t>t</w:t>
      </w:r>
      <w:r w:rsidR="008019C8">
        <w:t xml:space="preserve"> </w:t>
      </w:r>
      <w:r w:rsidR="00323546">
        <w:t xml:space="preserve">kliinilise </w:t>
      </w:r>
      <w:r>
        <w:t>tõenduspõhisuse hindamis</w:t>
      </w:r>
      <w:r w:rsidR="008019C8">
        <w:t xml:space="preserve">e protsessi ja </w:t>
      </w:r>
      <w:r>
        <w:t>kriteerium</w:t>
      </w:r>
      <w:r w:rsidR="00E30594">
        <w:t>e</w:t>
      </w:r>
      <w:r>
        <w:t>id</w:t>
      </w:r>
      <w:r w:rsidR="009F6CAD">
        <w:t>.</w:t>
      </w:r>
      <w:r>
        <w:t xml:space="preserve"> </w:t>
      </w:r>
      <w:r w:rsidR="00F525B2">
        <w:t xml:space="preserve">  </w:t>
      </w:r>
    </w:p>
    <w:p w14:paraId="01FCE19A" w14:textId="77777777" w:rsidR="00DF077A" w:rsidRDefault="00DF077A"/>
    <w:p w14:paraId="455DB1F5" w14:textId="1AD70DCE" w:rsidR="00665C3C" w:rsidRPr="000A3C10" w:rsidRDefault="00665C3C" w:rsidP="002111CB">
      <w:pPr>
        <w:jc w:val="both"/>
        <w:rPr>
          <w:b/>
        </w:rPr>
      </w:pPr>
      <w:r w:rsidRPr="000A3C10">
        <w:rPr>
          <w:b/>
        </w:rPr>
        <w:t xml:space="preserve">Laboriuuringu kliinilise </w:t>
      </w:r>
      <w:r>
        <w:rPr>
          <w:b/>
        </w:rPr>
        <w:t>tõenduspõhis</w:t>
      </w:r>
      <w:r w:rsidR="00F96BFA">
        <w:rPr>
          <w:b/>
        </w:rPr>
        <w:t xml:space="preserve">use hindamise kriteeriumid </w:t>
      </w:r>
    </w:p>
    <w:p w14:paraId="069E9675" w14:textId="5DDD45D1" w:rsidR="00607FD7" w:rsidRPr="008F293C" w:rsidRDefault="00607FD7" w:rsidP="002111CB">
      <w:pPr>
        <w:spacing w:after="0"/>
        <w:jc w:val="both"/>
        <w:rPr>
          <w:b/>
        </w:rPr>
      </w:pPr>
    </w:p>
    <w:p w14:paraId="23EF4FC2" w14:textId="67D9F97D" w:rsidR="00495136" w:rsidRDefault="00BB0348" w:rsidP="002111CB">
      <w:pPr>
        <w:jc w:val="both"/>
      </w:pPr>
      <w:r w:rsidRPr="00495136">
        <w:t>Laboriuuringu eesmärgi</w:t>
      </w:r>
      <w:r w:rsidR="006F47F5" w:rsidRPr="00495136">
        <w:t>ks</w:t>
      </w:r>
      <w:r w:rsidRPr="00495136">
        <w:t xml:space="preserve"> </w:t>
      </w:r>
      <w:r w:rsidR="00495136">
        <w:t>võib olla</w:t>
      </w:r>
      <w:r w:rsidR="00495136" w:rsidRPr="00495136">
        <w:t xml:space="preserve"> </w:t>
      </w:r>
      <w:r w:rsidR="006F47F5" w:rsidRPr="00495136">
        <w:t xml:space="preserve">haiguse </w:t>
      </w:r>
      <w:r w:rsidR="000B12FF" w:rsidRPr="00495136">
        <w:t xml:space="preserve">riski hindamine, varajane avastamine, </w:t>
      </w:r>
      <w:r w:rsidRPr="00495136">
        <w:t>diagnoosimine, prognoosimine, ravi valik ja ravivastuse seire</w:t>
      </w:r>
      <w:r w:rsidRPr="00495136">
        <w:rPr>
          <w:vertAlign w:val="superscript"/>
        </w:rPr>
        <w:fldChar w:fldCharType="begin"/>
      </w:r>
      <w:r w:rsidRPr="00495136">
        <w:rPr>
          <w:vertAlign w:val="superscript"/>
        </w:rPr>
        <w:instrText xml:space="preserve"> ADDIN ZOTERO_ITEM CSL_CITATION {"citationID":"wVzP8aSG","properties":{"formattedCitation":"\\super 1\\nosupersub{}","plainCitation":"1","noteIndex":0},"citationItems":[{"id":4156,"uris":["http://zotero.org/users/5586034/items/BHFMRP5G"],"itemData":{"id":4156,"type":"article-journal","container-title":"Circulation","DOI":"10.1161/CIRCULATIONAHA.106.683110","ISSN":"0009-7322, 1524-4539","issue":"8","journalAbbreviation":"Circulation","language":"en","page":"949-952","source":"DOI.org (Crossref)","title":"Benchmarks for the Assessment of Novel Cardiovascular Biomarkers","URL":"https://www.ahajournals.org/doi/10.1161/CIRCULATIONAHA.106.683110","volume":"115","author":[{"family":"Morrow","given":"David A."},{"family":"Lemos","given":"James A.","non-dropping-particle":"de"}],"accessed":{"date-parts":[["2023",3,29]]},"issued":{"date-parts":[["2007",2,27]]}}}],"schema":"https://github.com/citation-style-language/schema/raw/master/csl-citation.json"} </w:instrText>
      </w:r>
      <w:r w:rsidRPr="00495136">
        <w:rPr>
          <w:vertAlign w:val="superscript"/>
        </w:rPr>
        <w:fldChar w:fldCharType="separate"/>
      </w:r>
      <w:r w:rsidRPr="00495136">
        <w:rPr>
          <w:rFonts w:ascii="Calibri" w:hAnsi="Calibri" w:cs="Calibri"/>
          <w:szCs w:val="24"/>
          <w:vertAlign w:val="superscript"/>
        </w:rPr>
        <w:t>1</w:t>
      </w:r>
      <w:r w:rsidRPr="00495136">
        <w:rPr>
          <w:vertAlign w:val="superscript"/>
        </w:rPr>
        <w:fldChar w:fldCharType="end"/>
      </w:r>
      <w:r w:rsidRPr="00495136">
        <w:rPr>
          <w:vertAlign w:val="superscript"/>
        </w:rPr>
        <w:t>,</w:t>
      </w:r>
      <w:r w:rsidR="00AF3E56">
        <w:rPr>
          <w:vertAlign w:val="superscript"/>
        </w:rPr>
        <w:t>2</w:t>
      </w:r>
      <w:r w:rsidRPr="00495136">
        <w:t>.</w:t>
      </w:r>
      <w:r w:rsidR="006F47F5" w:rsidRPr="00495136">
        <w:t xml:space="preserve"> Uue laboriuuringu kasutuselevõtul tuleb hinnata, kas </w:t>
      </w:r>
      <w:r w:rsidR="0011477E">
        <w:t xml:space="preserve">uuring </w:t>
      </w:r>
      <w:r w:rsidR="006F47F5" w:rsidRPr="00495136">
        <w:t xml:space="preserve">lisab uut informatsiooni või </w:t>
      </w:r>
      <w:r w:rsidR="00B44982">
        <w:t xml:space="preserve">on </w:t>
      </w:r>
      <w:r w:rsidR="00D03265">
        <w:t xml:space="preserve">selle </w:t>
      </w:r>
      <w:r w:rsidR="006F47F5" w:rsidRPr="00495136">
        <w:t xml:space="preserve">diagnostiline suutlikkus </w:t>
      </w:r>
      <w:r w:rsidR="00495136">
        <w:t xml:space="preserve">parem </w:t>
      </w:r>
      <w:r w:rsidR="006F47F5" w:rsidRPr="00495136">
        <w:t>kui olemasoleval uuringul</w:t>
      </w:r>
      <w:r w:rsidR="00B44982">
        <w:t>.</w:t>
      </w:r>
    </w:p>
    <w:p w14:paraId="00E133CE" w14:textId="49AEA084" w:rsidR="00B44982" w:rsidRDefault="00B44982" w:rsidP="002111CB">
      <w:pPr>
        <w:spacing w:after="0"/>
        <w:jc w:val="both"/>
      </w:pPr>
      <w:r w:rsidRPr="00314E99">
        <w:t xml:space="preserve">Kliiniliseks kasutamiseks mõeldud laboriuuring </w:t>
      </w:r>
      <w:r w:rsidR="00CD016D">
        <w:t>peab olema</w:t>
      </w:r>
      <w:r w:rsidR="00CD016D" w:rsidRPr="00314E99">
        <w:t xml:space="preserve"> </w:t>
      </w:r>
      <w:r w:rsidRPr="00314E99">
        <w:t xml:space="preserve">analüütiliselt ja kliiniliselt valideeritud. </w:t>
      </w:r>
    </w:p>
    <w:p w14:paraId="3E1787FF" w14:textId="3836D14F" w:rsidR="00813D1C" w:rsidRDefault="00813D1C" w:rsidP="002111CB">
      <w:pPr>
        <w:spacing w:after="0"/>
        <w:jc w:val="both"/>
      </w:pPr>
      <w:r>
        <w:t>Analüütilise valideerimise käigus mää</w:t>
      </w:r>
      <w:r w:rsidR="00F96BFA">
        <w:t>ra</w:t>
      </w:r>
      <w:r>
        <w:t xml:space="preserve">tletakse laboriuuringu tehniline suutlikkus, </w:t>
      </w:r>
    </w:p>
    <w:p w14:paraId="109F5B69" w14:textId="68447775" w:rsidR="00813D1C" w:rsidRDefault="00F96BFA" w:rsidP="002111CB">
      <w:pPr>
        <w:spacing w:after="0"/>
        <w:jc w:val="both"/>
      </w:pPr>
      <w:r>
        <w:t>k</w:t>
      </w:r>
      <w:r w:rsidR="00813D1C">
        <w:t xml:space="preserve">liinilise valideerimise käigus kliiniline suutlikkus, st. näidatakse, et laboriuuring suudab tuvastada või ennustada huvipakkuvat häiret või seisundit </w:t>
      </w:r>
      <w:r w:rsidR="0038201F">
        <w:t>sihtrühmas</w:t>
      </w:r>
      <w:r w:rsidR="0038201F">
        <w:rPr>
          <w:vertAlign w:val="superscript"/>
        </w:rPr>
        <w:t>3</w:t>
      </w:r>
      <w:r w:rsidR="00813D1C">
        <w:t xml:space="preserve">. </w:t>
      </w:r>
    </w:p>
    <w:p w14:paraId="270E1740" w14:textId="77777777" w:rsidR="00B44982" w:rsidRPr="00314E99" w:rsidRDefault="00B44982" w:rsidP="002111CB">
      <w:pPr>
        <w:spacing w:after="0"/>
        <w:jc w:val="both"/>
      </w:pPr>
    </w:p>
    <w:p w14:paraId="2C04A536" w14:textId="1112CFAA" w:rsidR="00993F15" w:rsidRDefault="00CD016D" w:rsidP="002111CB">
      <w:pPr>
        <w:spacing w:after="0"/>
        <w:jc w:val="both"/>
      </w:pPr>
      <w:r>
        <w:t>L</w:t>
      </w:r>
      <w:r w:rsidR="00495136">
        <w:t xml:space="preserve">aboriuuringu </w:t>
      </w:r>
      <w:r>
        <w:t xml:space="preserve">kliinilisele tõenduspõhisusele viitavad </w:t>
      </w:r>
      <w:r w:rsidR="0011477E" w:rsidRPr="00495136">
        <w:t xml:space="preserve"> mitme uuringu </w:t>
      </w:r>
      <w:r w:rsidR="00993F15" w:rsidRPr="00495136">
        <w:t>andme</w:t>
      </w:r>
      <w:r w:rsidR="0011477E" w:rsidRPr="00495136">
        <w:t>te</w:t>
      </w:r>
      <w:r w:rsidR="00993F15" w:rsidRPr="00495136">
        <w:t xml:space="preserve">l </w:t>
      </w:r>
      <w:r w:rsidR="0011477E" w:rsidRPr="00495136">
        <w:t>saadud</w:t>
      </w:r>
      <w:r w:rsidR="00993F15" w:rsidRPr="00495136">
        <w:t xml:space="preserve"> tugev ja püsiv seos</w:t>
      </w:r>
      <w:r w:rsidR="0011477E" w:rsidRPr="00495136">
        <w:t xml:space="preserve"> </w:t>
      </w:r>
      <w:r w:rsidR="00993F15" w:rsidRPr="00495136">
        <w:t xml:space="preserve">huvialuse </w:t>
      </w:r>
      <w:r w:rsidR="0011477E" w:rsidRPr="00495136">
        <w:t xml:space="preserve">seisundiga, otsustuspiiride valideerimine rohkem kui ühe uuringuga ja </w:t>
      </w:r>
      <w:r w:rsidRPr="00E05655">
        <w:t>populatsioonipõhiste</w:t>
      </w:r>
      <w:r w:rsidR="00495136" w:rsidRPr="00F17398">
        <w:t xml:space="preserve"> andme</w:t>
      </w:r>
      <w:r w:rsidR="00495136">
        <w:t>te</w:t>
      </w:r>
      <w:r w:rsidR="00495136" w:rsidRPr="00495136">
        <w:t xml:space="preserve"> </w:t>
      </w:r>
      <w:r w:rsidR="0011477E" w:rsidRPr="00495136">
        <w:t>kasut</w:t>
      </w:r>
      <w:r w:rsidR="00495136">
        <w:t>amine.</w:t>
      </w:r>
      <w:r w:rsidR="00993F15" w:rsidRPr="00495136">
        <w:t xml:space="preserve"> </w:t>
      </w:r>
    </w:p>
    <w:p w14:paraId="54488D5B" w14:textId="77777777" w:rsidR="00495136" w:rsidRDefault="00495136" w:rsidP="002111CB">
      <w:pPr>
        <w:spacing w:after="0"/>
        <w:jc w:val="both"/>
      </w:pPr>
    </w:p>
    <w:p w14:paraId="2322BB66" w14:textId="46DCF933" w:rsidR="001C0681" w:rsidRDefault="001C0681" w:rsidP="002111CB">
      <w:pPr>
        <w:spacing w:after="0"/>
        <w:jc w:val="both"/>
      </w:pPr>
      <w:r>
        <w:t>Kliinilise tõenduspõhisuse hindamisel kasutatavad allikad:</w:t>
      </w:r>
    </w:p>
    <w:p w14:paraId="05FE55BF" w14:textId="2CCA2DEF" w:rsidR="003331FC" w:rsidRPr="00495136" w:rsidRDefault="00314E99" w:rsidP="001240FF">
      <w:pPr>
        <w:pStyle w:val="ListParagraph"/>
        <w:numPr>
          <w:ilvl w:val="0"/>
          <w:numId w:val="15"/>
        </w:numPr>
        <w:spacing w:after="0"/>
        <w:jc w:val="both"/>
      </w:pPr>
      <w:r w:rsidRPr="0011477E">
        <w:t>reguleeriva/pädeva asutus</w:t>
      </w:r>
      <w:r>
        <w:t>e</w:t>
      </w:r>
      <w:r w:rsidR="008F293C">
        <w:t xml:space="preserve"> </w:t>
      </w:r>
      <w:r w:rsidRPr="0011477E">
        <w:t>(</w:t>
      </w:r>
      <w:proofErr w:type="spellStart"/>
      <w:r w:rsidRPr="0011477E">
        <w:t>European</w:t>
      </w:r>
      <w:proofErr w:type="spellEnd"/>
      <w:r w:rsidRPr="0011477E">
        <w:t xml:space="preserve"> </w:t>
      </w:r>
      <w:proofErr w:type="spellStart"/>
      <w:r w:rsidRPr="0011477E">
        <w:t>Medicines</w:t>
      </w:r>
      <w:proofErr w:type="spellEnd"/>
      <w:r w:rsidRPr="0011477E">
        <w:t xml:space="preserve"> Agency, FDA)</w:t>
      </w:r>
      <w:r>
        <w:t xml:space="preserve"> vastav </w:t>
      </w:r>
      <w:r w:rsidR="0038201F">
        <w:t>tunnustus</w:t>
      </w:r>
      <w:r w:rsidR="0038201F">
        <w:rPr>
          <w:vertAlign w:val="superscript"/>
        </w:rPr>
        <w:t>4</w:t>
      </w:r>
      <w:r w:rsidR="008E5D6C">
        <w:t>;</w:t>
      </w:r>
    </w:p>
    <w:p w14:paraId="332B6BBA" w14:textId="53D54516" w:rsidR="008271EE" w:rsidRDefault="008E5D6C" w:rsidP="008271EE">
      <w:pPr>
        <w:pStyle w:val="ListParagraph"/>
        <w:numPr>
          <w:ilvl w:val="0"/>
          <w:numId w:val="15"/>
        </w:numPr>
        <w:jc w:val="both"/>
      </w:pPr>
      <w:r>
        <w:t xml:space="preserve">vastavus </w:t>
      </w:r>
      <w:r w:rsidR="00A40D5C">
        <w:t>IVDR</w:t>
      </w:r>
      <w:r w:rsidR="001C0681">
        <w:t xml:space="preserve"> määrusele</w:t>
      </w:r>
      <w:r>
        <w:t xml:space="preserve"> </w:t>
      </w:r>
      <w:r w:rsidR="006E5C53">
        <w:t>(uuringu kliinilis</w:t>
      </w:r>
      <w:r w:rsidR="00071DF7">
        <w:t>e</w:t>
      </w:r>
      <w:r w:rsidR="006E5C53">
        <w:t>d</w:t>
      </w:r>
      <w:r w:rsidR="00071DF7">
        <w:t xml:space="preserve"> sooritus</w:t>
      </w:r>
      <w:r w:rsidR="006E5C53">
        <w:t xml:space="preserve">karakteristikud on hinnatud ja heaks kiidetud pädeva asutuse poolt ja andmed on </w:t>
      </w:r>
      <w:r w:rsidR="00D03265">
        <w:t xml:space="preserve">esitatud </w:t>
      </w:r>
      <w:r w:rsidR="005B09ED">
        <w:t>reagendi</w:t>
      </w:r>
      <w:r w:rsidR="006E5C53">
        <w:t xml:space="preserve"> </w:t>
      </w:r>
      <w:r w:rsidR="005B09ED">
        <w:t>kasutus</w:t>
      </w:r>
      <w:r w:rsidR="006E5C53">
        <w:t>juhendis)</w:t>
      </w:r>
      <w:r>
        <w:t>;</w:t>
      </w:r>
    </w:p>
    <w:p w14:paraId="72E1D69D" w14:textId="781E9EAA" w:rsidR="008271EE" w:rsidRDefault="001C0681" w:rsidP="008271EE">
      <w:pPr>
        <w:pStyle w:val="ListParagraph"/>
        <w:numPr>
          <w:ilvl w:val="0"/>
          <w:numId w:val="15"/>
        </w:numPr>
        <w:jc w:val="both"/>
      </w:pPr>
      <w:r>
        <w:t>r</w:t>
      </w:r>
      <w:r w:rsidR="00842CD9">
        <w:t>ahvusvahelis</w:t>
      </w:r>
      <w:r w:rsidR="008E5D6C">
        <w:t>ed</w:t>
      </w:r>
      <w:r w:rsidR="00842CD9">
        <w:t>, Eesti ja</w:t>
      </w:r>
      <w:r>
        <w:t>/või</w:t>
      </w:r>
      <w:r w:rsidR="00842CD9">
        <w:t xml:space="preserve"> teiste riikide diagnosti</w:t>
      </w:r>
      <w:r w:rsidR="00A40D5C">
        <w:t>ka</w:t>
      </w:r>
      <w:r w:rsidR="00246128">
        <w:t>-</w:t>
      </w:r>
      <w:r w:rsidR="00A40D5C">
        <w:t xml:space="preserve"> ja ravijuhis</w:t>
      </w:r>
      <w:r w:rsidR="008E5D6C">
        <w:t>ed</w:t>
      </w:r>
      <w:r w:rsidR="008271EE">
        <w:t>,</w:t>
      </w:r>
      <w:r w:rsidR="00A40D5C">
        <w:t xml:space="preserve"> </w:t>
      </w:r>
      <w:r w:rsidR="006314E9">
        <w:t>erialaseltside soovitused</w:t>
      </w:r>
      <w:r w:rsidR="006D1D41">
        <w:t xml:space="preserve">, rahvusvaheliselt/Euroopas </w:t>
      </w:r>
      <w:r w:rsidR="00A77EAA">
        <w:t xml:space="preserve">kehtivad standardid </w:t>
      </w:r>
      <w:r w:rsidR="00F61F27">
        <w:t>(EUCAST jt)</w:t>
      </w:r>
      <w:r w:rsidR="008271EE">
        <w:t>;</w:t>
      </w:r>
    </w:p>
    <w:p w14:paraId="7567D1E3" w14:textId="662CA0A0" w:rsidR="000A3C10" w:rsidRDefault="001C0681" w:rsidP="001240FF">
      <w:pPr>
        <w:pStyle w:val="ListParagraph"/>
        <w:numPr>
          <w:ilvl w:val="0"/>
          <w:numId w:val="15"/>
        </w:numPr>
        <w:jc w:val="both"/>
      </w:pPr>
      <w:r>
        <w:t>a</w:t>
      </w:r>
      <w:r w:rsidR="004458B1">
        <w:t>ndmebaasi</w:t>
      </w:r>
      <w:r w:rsidR="00F378EA">
        <w:t>d</w:t>
      </w:r>
      <w:r w:rsidR="004458B1">
        <w:t xml:space="preserve"> </w:t>
      </w:r>
      <w:proofErr w:type="spellStart"/>
      <w:r w:rsidR="004458B1">
        <w:t>UpToDate</w:t>
      </w:r>
      <w:proofErr w:type="spellEnd"/>
      <w:r w:rsidR="00334684">
        <w:t xml:space="preserve"> ja </w:t>
      </w:r>
      <w:proofErr w:type="spellStart"/>
      <w:r w:rsidR="00334684">
        <w:t>Dynamed</w:t>
      </w:r>
      <w:proofErr w:type="spellEnd"/>
      <w:r w:rsidR="008271EE">
        <w:t>.</w:t>
      </w:r>
      <w:r w:rsidR="004458B1">
        <w:t xml:space="preserve"> </w:t>
      </w:r>
    </w:p>
    <w:p w14:paraId="654E0366" w14:textId="77777777" w:rsidR="00F355E1" w:rsidRDefault="00F355E1" w:rsidP="008271EE">
      <w:pPr>
        <w:jc w:val="both"/>
        <w:rPr>
          <w:b/>
        </w:rPr>
      </w:pPr>
    </w:p>
    <w:p w14:paraId="106A352A" w14:textId="2AE3194A" w:rsidR="00DF077A" w:rsidRPr="000A3C10" w:rsidRDefault="00DF077A" w:rsidP="008271EE">
      <w:pPr>
        <w:jc w:val="both"/>
        <w:rPr>
          <w:b/>
        </w:rPr>
      </w:pPr>
      <w:r w:rsidRPr="000A3C10">
        <w:rPr>
          <w:b/>
        </w:rPr>
        <w:lastRenderedPageBreak/>
        <w:t xml:space="preserve"> </w:t>
      </w:r>
      <w:r w:rsidR="001C0681">
        <w:rPr>
          <w:b/>
        </w:rPr>
        <w:t>ELHR andmebaasi k</w:t>
      </w:r>
      <w:r w:rsidR="00665C3C">
        <w:rPr>
          <w:b/>
        </w:rPr>
        <w:t>andmise</w:t>
      </w:r>
      <w:r w:rsidR="001C0681">
        <w:rPr>
          <w:b/>
        </w:rPr>
        <w:t xml:space="preserve"> </w:t>
      </w:r>
      <w:r w:rsidRPr="000A3C10">
        <w:rPr>
          <w:b/>
        </w:rPr>
        <w:t>protsess uue uuringu kasut</w:t>
      </w:r>
      <w:r w:rsidR="000A3C10">
        <w:rPr>
          <w:b/>
        </w:rPr>
        <w:t xml:space="preserve">uselevõtul </w:t>
      </w:r>
    </w:p>
    <w:p w14:paraId="4E223C2F" w14:textId="33F3B1ED" w:rsidR="00665C3C" w:rsidRDefault="00683610" w:rsidP="006D4C60">
      <w:pPr>
        <w:pStyle w:val="ListParagraph"/>
        <w:numPr>
          <w:ilvl w:val="0"/>
          <w:numId w:val="16"/>
        </w:numPr>
        <w:jc w:val="both"/>
      </w:pPr>
      <w:r>
        <w:t>Uue uuringu kasutuselevõtul hindab</w:t>
      </w:r>
      <w:r w:rsidR="00665C3C">
        <w:t xml:space="preserve"> uuringu kasutusele võtnud</w:t>
      </w:r>
      <w:r>
        <w:t xml:space="preserve"> labor, kas tegemist on tõenduspõhise uuringuga. LOINC koodi taotluseks</w:t>
      </w:r>
      <w:r w:rsidR="00AF244C">
        <w:t xml:space="preserve"> </w:t>
      </w:r>
      <w:r>
        <w:t>esitatakse ainult tõenduspõhiseks hinnatud laboriuuringud</w:t>
      </w:r>
      <w:r w:rsidR="00665C3C">
        <w:t>.</w:t>
      </w:r>
    </w:p>
    <w:p w14:paraId="7653C157" w14:textId="2C0F7BB1" w:rsidR="00683610" w:rsidRDefault="00683610" w:rsidP="006D4C60">
      <w:pPr>
        <w:pStyle w:val="ListParagraph"/>
        <w:numPr>
          <w:ilvl w:val="0"/>
          <w:numId w:val="16"/>
        </w:numPr>
        <w:jc w:val="both"/>
      </w:pPr>
      <w:r>
        <w:t xml:space="preserve">LOINC koodi taotluse </w:t>
      </w:r>
      <w:r w:rsidR="008929D0">
        <w:t xml:space="preserve">edastab </w:t>
      </w:r>
      <w:r w:rsidR="0079038A">
        <w:t>labor</w:t>
      </w:r>
      <w:r w:rsidR="008929D0">
        <w:t xml:space="preserve"> LOINC haldurile. </w:t>
      </w:r>
      <w:r>
        <w:t xml:space="preserve"> </w:t>
      </w:r>
    </w:p>
    <w:p w14:paraId="6F4D9A4D" w14:textId="1217FFE0" w:rsidR="00683610" w:rsidRDefault="0079038A" w:rsidP="006D4C60">
      <w:pPr>
        <w:pStyle w:val="ListParagraph"/>
        <w:numPr>
          <w:ilvl w:val="0"/>
          <w:numId w:val="16"/>
        </w:numPr>
        <w:jc w:val="both"/>
      </w:pPr>
      <w:r>
        <w:t>Taotlusesse</w:t>
      </w:r>
      <w:r w:rsidR="00683610">
        <w:t xml:space="preserve"> </w:t>
      </w:r>
      <w:r>
        <w:t xml:space="preserve">lisab </w:t>
      </w:r>
      <w:r w:rsidR="001C0681">
        <w:t xml:space="preserve"> labor </w:t>
      </w:r>
      <w:r w:rsidR="00683610">
        <w:t xml:space="preserve">LOINC haldurile tõenduspõhisust kinnitavad dokumendid (tootjapoolsed materjalid, asjakohased </w:t>
      </w:r>
      <w:r w:rsidR="001434E5">
        <w:t xml:space="preserve">diagnostika- ja </w:t>
      </w:r>
      <w:r w:rsidR="00683610">
        <w:t>ravijuhised, kirjandusviited</w:t>
      </w:r>
      <w:r w:rsidR="00E2303C">
        <w:t xml:space="preserve">, </w:t>
      </w:r>
      <w:r w:rsidR="006975E8">
        <w:t xml:space="preserve">võimalusel </w:t>
      </w:r>
      <w:r w:rsidR="00E2303C">
        <w:t>valideerimisprotokoll</w:t>
      </w:r>
      <w:r w:rsidR="00362302">
        <w:t xml:space="preserve">id </w:t>
      </w:r>
      <w:r w:rsidR="00D828B1">
        <w:t xml:space="preserve">mitte-IVD/IVDR reaktiividega teostatavate </w:t>
      </w:r>
      <w:r w:rsidR="00362302">
        <w:t>uuringute korral</w:t>
      </w:r>
      <w:r w:rsidR="00683610">
        <w:t>)</w:t>
      </w:r>
      <w:r w:rsidR="00446094">
        <w:t>.</w:t>
      </w:r>
    </w:p>
    <w:p w14:paraId="4BDCBDD5" w14:textId="7C063526" w:rsidR="00683610" w:rsidRDefault="00683610" w:rsidP="006D4C60">
      <w:pPr>
        <w:pStyle w:val="ListParagraph"/>
        <w:numPr>
          <w:ilvl w:val="0"/>
          <w:numId w:val="16"/>
        </w:numPr>
        <w:jc w:val="both"/>
      </w:pPr>
      <w:r>
        <w:t xml:space="preserve">LOINC haldur edastab </w:t>
      </w:r>
      <w:r w:rsidR="001434E5">
        <w:t xml:space="preserve">kliinilist </w:t>
      </w:r>
      <w:r>
        <w:t xml:space="preserve">hinnangut vajavad taotlused </w:t>
      </w:r>
      <w:r w:rsidR="00403E01">
        <w:t xml:space="preserve">koos lisadokumentidega </w:t>
      </w:r>
      <w:r>
        <w:t>ELMÜ laboriarstide sektsiooni tõenduspõhiste laboriuuringute töörühmale 1 kord kuus</w:t>
      </w:r>
      <w:r w:rsidR="000C1C00">
        <w:t>.</w:t>
      </w:r>
    </w:p>
    <w:p w14:paraId="2774248E" w14:textId="2F28D830" w:rsidR="000C1C00" w:rsidRPr="009010D8" w:rsidRDefault="0079038A" w:rsidP="006D4C60">
      <w:pPr>
        <w:pStyle w:val="ListParagraph"/>
        <w:numPr>
          <w:ilvl w:val="0"/>
          <w:numId w:val="16"/>
        </w:numPr>
        <w:jc w:val="both"/>
      </w:pPr>
      <w:proofErr w:type="spellStart"/>
      <w:r>
        <w:t>Inimg</w:t>
      </w:r>
      <w:r w:rsidR="000C1C00" w:rsidRPr="009010D8">
        <w:t>eneetilis</w:t>
      </w:r>
      <w:r w:rsidR="00F100D7">
        <w:t>te</w:t>
      </w:r>
      <w:proofErr w:type="spellEnd"/>
      <w:r w:rsidR="000C1C00" w:rsidRPr="009010D8">
        <w:t xml:space="preserve"> uuringu</w:t>
      </w:r>
      <w:r w:rsidR="00F100D7">
        <w:t>te taotlused</w:t>
      </w:r>
      <w:r w:rsidR="000C1C00" w:rsidRPr="009010D8">
        <w:t xml:space="preserve"> </w:t>
      </w:r>
      <w:r w:rsidR="000C1C00" w:rsidRPr="00904944">
        <w:t>võib</w:t>
      </w:r>
      <w:r w:rsidR="000C1C00" w:rsidRPr="009010D8">
        <w:t xml:space="preserve"> töörühma juht edastada aruteluks </w:t>
      </w:r>
      <w:r w:rsidR="009D6596" w:rsidRPr="009D6596">
        <w:t>Eesti Meditsiinigeneetika Selts</w:t>
      </w:r>
      <w:r w:rsidR="00C40453">
        <w:t>ile</w:t>
      </w:r>
      <w:r w:rsidR="009D6596" w:rsidRPr="009D6596" w:rsidDel="009D6596">
        <w:t xml:space="preserve"> </w:t>
      </w:r>
      <w:r w:rsidR="00923AFE" w:rsidRPr="009010D8">
        <w:t>(kontakt dr. Tiina Kahre).</w:t>
      </w:r>
    </w:p>
    <w:p w14:paraId="019B3FAF" w14:textId="50F9D3BE" w:rsidR="00683610" w:rsidRDefault="002135D6" w:rsidP="006D4C60">
      <w:pPr>
        <w:pStyle w:val="ListParagraph"/>
        <w:numPr>
          <w:ilvl w:val="0"/>
          <w:numId w:val="16"/>
        </w:numPr>
        <w:jc w:val="both"/>
      </w:pPr>
      <w:r>
        <w:t>Töörühm vaatab taotlused üle ja edastab LOINC haldurile tulemuste protokolli koos otsuste ja põhjendustega hiljemalt järgmise kalendrikuu lõpuks</w:t>
      </w:r>
      <w:r w:rsidR="00C569D1">
        <w:t>.</w:t>
      </w:r>
    </w:p>
    <w:p w14:paraId="13BC40BB" w14:textId="36FC9EC8" w:rsidR="00665C3C" w:rsidRPr="00904944" w:rsidRDefault="00C47297" w:rsidP="006D4C60">
      <w:pPr>
        <w:pStyle w:val="ListParagraph"/>
        <w:numPr>
          <w:ilvl w:val="0"/>
          <w:numId w:val="16"/>
        </w:numPr>
        <w:jc w:val="both"/>
      </w:pPr>
      <w:r w:rsidRPr="00904944">
        <w:t>Kui uu</w:t>
      </w:r>
      <w:r w:rsidR="003E4434" w:rsidRPr="00904944">
        <w:t xml:space="preserve">e uuringu </w:t>
      </w:r>
      <w:r w:rsidR="00143DFC" w:rsidRPr="00904944">
        <w:t xml:space="preserve">tellimus on esitatud </w:t>
      </w:r>
      <w:r w:rsidR="004F367D" w:rsidRPr="00904944">
        <w:t>mõne teise raviasutuse labori</w:t>
      </w:r>
      <w:r w:rsidR="00C569D1" w:rsidRPr="00904944">
        <w:t xml:space="preserve"> poolt</w:t>
      </w:r>
      <w:r w:rsidR="004F367D" w:rsidRPr="00904944">
        <w:t xml:space="preserve">, siis võib </w:t>
      </w:r>
      <w:r w:rsidR="00CC734B" w:rsidRPr="00904944">
        <w:t xml:space="preserve">uuringut teostav/vahendav labor saata taotluse </w:t>
      </w:r>
      <w:r w:rsidR="00FA42A9" w:rsidRPr="00904944">
        <w:t>põhjenduste ja viidete saamiseks uuringut tellinud raviasutuse laborile</w:t>
      </w:r>
      <w:r w:rsidR="00904944">
        <w:t xml:space="preserve">. </w:t>
      </w:r>
    </w:p>
    <w:p w14:paraId="4A3E366A" w14:textId="4DC328FB" w:rsidR="00802751" w:rsidRDefault="00665C3C" w:rsidP="006D4C60">
      <w:pPr>
        <w:pStyle w:val="ListParagraph"/>
        <w:numPr>
          <w:ilvl w:val="0"/>
          <w:numId w:val="16"/>
        </w:numPr>
        <w:jc w:val="both"/>
      </w:pPr>
      <w:r>
        <w:t xml:space="preserve">Positiivse hinnangu saanud uue uuringu </w:t>
      </w:r>
      <w:r w:rsidR="0079038A">
        <w:t xml:space="preserve">taotluse kinnitab </w:t>
      </w:r>
      <w:r w:rsidR="008E5D6C">
        <w:t xml:space="preserve"> </w:t>
      </w:r>
      <w:r w:rsidR="0079038A">
        <w:t xml:space="preserve">LOINC haldur </w:t>
      </w:r>
      <w:proofErr w:type="spellStart"/>
      <w:r w:rsidR="0079038A">
        <w:t>ELHR</w:t>
      </w:r>
      <w:r w:rsidR="005C4551">
        <w:t>i</w:t>
      </w:r>
      <w:r w:rsidR="0079038A">
        <w:t>s</w:t>
      </w:r>
      <w:proofErr w:type="spellEnd"/>
      <w:r w:rsidR="0079038A">
        <w:t xml:space="preserve"> ja omistab</w:t>
      </w:r>
      <w:r w:rsidR="008E5D6C">
        <w:t xml:space="preserve"> LOINC </w:t>
      </w:r>
      <w:r w:rsidR="0079038A">
        <w:t xml:space="preserve">või selle puudumisel ajutise </w:t>
      </w:r>
      <w:r w:rsidR="008E5D6C">
        <w:t>koodi</w:t>
      </w:r>
      <w:r w:rsidR="00063CED">
        <w:t>.</w:t>
      </w:r>
    </w:p>
    <w:p w14:paraId="4EAB65F2" w14:textId="49F11EAF" w:rsidR="00802751" w:rsidRDefault="00E65FA5" w:rsidP="006D4C60">
      <w:pPr>
        <w:pStyle w:val="ListParagraph"/>
        <w:numPr>
          <w:ilvl w:val="0"/>
          <w:numId w:val="16"/>
        </w:numPr>
        <w:jc w:val="both"/>
      </w:pPr>
      <w:r w:rsidRPr="006B3700">
        <w:t>LOINC taotlus</w:t>
      </w:r>
      <w:r w:rsidR="00C970F9" w:rsidRPr="006B3700">
        <w:t>te otsuseid sisaldav protokoll edastatakse kõigile taotlus</w:t>
      </w:r>
      <w:r w:rsidR="003E4FE5">
        <w:t>t</w:t>
      </w:r>
      <w:r w:rsidR="00C970F9" w:rsidRPr="006B3700">
        <w:t>e esitajatele</w:t>
      </w:r>
      <w:r w:rsidR="009C2790" w:rsidRPr="006B3700">
        <w:t>.</w:t>
      </w:r>
    </w:p>
    <w:p w14:paraId="7BFB8AE9" w14:textId="03218367" w:rsidR="002135D6" w:rsidRPr="006B3700" w:rsidRDefault="001E4509" w:rsidP="006D4C60">
      <w:pPr>
        <w:pStyle w:val="ListParagraph"/>
        <w:numPr>
          <w:ilvl w:val="0"/>
          <w:numId w:val="16"/>
        </w:numPr>
        <w:jc w:val="both"/>
      </w:pPr>
      <w:r w:rsidRPr="006B3700">
        <w:t xml:space="preserve">Taotluse </w:t>
      </w:r>
      <w:r w:rsidR="00C569D1">
        <w:t xml:space="preserve">tagasilükkamise korral võib taotluse </w:t>
      </w:r>
      <w:r w:rsidRPr="006B3700">
        <w:t>e</w:t>
      </w:r>
      <w:r w:rsidR="005305E1" w:rsidRPr="006B3700">
        <w:t>sitanud labor tagasilükkamis</w:t>
      </w:r>
      <w:r w:rsidR="00C569D1">
        <w:t>e</w:t>
      </w:r>
      <w:r w:rsidR="005305E1" w:rsidRPr="006B3700">
        <w:t xml:space="preserve"> vaidlustada, esitades </w:t>
      </w:r>
      <w:r w:rsidR="005C4551">
        <w:t xml:space="preserve">protesti töörühma juhile, </w:t>
      </w:r>
      <w:r w:rsidR="00C653AC" w:rsidRPr="006B3700">
        <w:t>kes korraldab</w:t>
      </w:r>
      <w:r w:rsidR="003F24BE" w:rsidRPr="006B3700">
        <w:t xml:space="preserve"> </w:t>
      </w:r>
      <w:r w:rsidR="00C653AC" w:rsidRPr="006B3700">
        <w:t xml:space="preserve">täiendava ülevaatamise töörühmas </w:t>
      </w:r>
      <w:r w:rsidR="00B77C66" w:rsidRPr="006B3700">
        <w:t>hiljemalt ühe kuu jooksul</w:t>
      </w:r>
      <w:r w:rsidR="008E5D6C">
        <w:t>,</w:t>
      </w:r>
      <w:r w:rsidR="00C653AC" w:rsidRPr="006B3700">
        <w:t xml:space="preserve"> kaasa</w:t>
      </w:r>
      <w:r w:rsidR="00563EDC" w:rsidRPr="006B3700">
        <w:t>tes</w:t>
      </w:r>
      <w:r w:rsidR="00370FE1" w:rsidRPr="006B3700">
        <w:t xml:space="preserve"> vajadusel </w:t>
      </w:r>
      <w:r w:rsidR="00C653AC" w:rsidRPr="006B3700">
        <w:t>teiste erialaseltside juhatusi teisese arvamuse saamiseks uuringu kliinilise vajaduse kohta.</w:t>
      </w:r>
    </w:p>
    <w:p w14:paraId="54DE067B" w14:textId="39027FD1" w:rsidR="00552D43" w:rsidRPr="006B3700" w:rsidRDefault="00063CED" w:rsidP="006D4C60">
      <w:pPr>
        <w:pStyle w:val="ListParagraph"/>
        <w:numPr>
          <w:ilvl w:val="0"/>
          <w:numId w:val="16"/>
        </w:numPr>
        <w:jc w:val="both"/>
      </w:pPr>
      <w:bookmarkStart w:id="0" w:name="_Hlk193097149"/>
      <w:bookmarkStart w:id="1" w:name="_Hlk193097190"/>
      <w:r>
        <w:t>T</w:t>
      </w:r>
      <w:r w:rsidR="0059400D">
        <w:t xml:space="preserve">aotlust saab esitada </w:t>
      </w:r>
      <w:r w:rsidR="008E5D6C">
        <w:t>kiirmenetluseks</w:t>
      </w:r>
      <w:r w:rsidR="0054318D">
        <w:t xml:space="preserve"> (märkides </w:t>
      </w:r>
      <w:r w:rsidR="005C4551">
        <w:t xml:space="preserve">„Kiirmenetlus“ </w:t>
      </w:r>
      <w:r w:rsidR="00403E01">
        <w:t>“Lisainfo“ lahtrisse</w:t>
      </w:r>
      <w:r w:rsidR="0054318D">
        <w:t>)</w:t>
      </w:r>
      <w:r w:rsidR="00552D43" w:rsidRPr="006B3700">
        <w:t xml:space="preserve">, kui sellel on kliiniline põhjendus ja uuringu </w:t>
      </w:r>
      <w:r w:rsidR="00D17961">
        <w:t xml:space="preserve">tulemuse </w:t>
      </w:r>
      <w:r w:rsidR="00552D43" w:rsidRPr="006B3700">
        <w:t xml:space="preserve">saatmine </w:t>
      </w:r>
      <w:proofErr w:type="spellStart"/>
      <w:r w:rsidR="00552D43" w:rsidRPr="006B3700">
        <w:t>TIS-i</w:t>
      </w:r>
      <w:proofErr w:type="spellEnd"/>
      <w:r w:rsidR="00552D43" w:rsidRPr="006B3700">
        <w:t xml:space="preserve"> tagab olulise aegkriitilise diagnoosi kinnituse või ravivastuse hinnangu (</w:t>
      </w:r>
      <w:r w:rsidR="00DC2599" w:rsidRPr="006B3700">
        <w:t>kiiret diagnostikat/</w:t>
      </w:r>
      <w:proofErr w:type="spellStart"/>
      <w:r w:rsidR="00DC2599" w:rsidRPr="006B3700">
        <w:t>TIS-i</w:t>
      </w:r>
      <w:proofErr w:type="spellEnd"/>
      <w:r w:rsidR="00DC2599" w:rsidRPr="006B3700">
        <w:t xml:space="preserve"> saatmist vajavad infektsioonid</w:t>
      </w:r>
      <w:r w:rsidR="00552D43" w:rsidRPr="006B3700">
        <w:t>, ravimresistentsust kinnitavad uuringud</w:t>
      </w:r>
      <w:r w:rsidR="00563EDC" w:rsidRPr="006B3700">
        <w:t>, erialaseltsi otsus j</w:t>
      </w:r>
      <w:r w:rsidR="00552D43" w:rsidRPr="006B3700">
        <w:t>m</w:t>
      </w:r>
      <w:bookmarkEnd w:id="0"/>
      <w:r w:rsidR="00552D43" w:rsidRPr="006B3700">
        <w:t>).</w:t>
      </w:r>
    </w:p>
    <w:p w14:paraId="5BBE47D0" w14:textId="2E573959" w:rsidR="00D62489" w:rsidRDefault="00D62489" w:rsidP="00AD1451">
      <w:pPr>
        <w:pStyle w:val="ListParagraph"/>
        <w:numPr>
          <w:ilvl w:val="0"/>
          <w:numId w:val="16"/>
        </w:numPr>
        <w:jc w:val="both"/>
      </w:pPr>
      <w:bookmarkStart w:id="2" w:name="_Hlk193097171"/>
      <w:bookmarkStart w:id="3" w:name="_Hlk193378979"/>
      <w:bookmarkEnd w:id="1"/>
      <w:r w:rsidRPr="00D62489">
        <w:t>Kiirmenetluse taotluse edastab LOINC haldur töörühma juhile kahe tööpäeva jooksul, kes saadab kahe tööpäeva jooksul taotluse töörühmale ülevaatamiseks. Töörühm annab vastuse kahe tööpäeva jooksul.</w:t>
      </w:r>
    </w:p>
    <w:bookmarkEnd w:id="2"/>
    <w:bookmarkEnd w:id="3"/>
    <w:p w14:paraId="2390CE0B" w14:textId="77777777" w:rsidR="00DC21EF" w:rsidRDefault="00DC21EF" w:rsidP="00195FC7">
      <w:pPr>
        <w:jc w:val="both"/>
      </w:pPr>
    </w:p>
    <w:p w14:paraId="6A024C98" w14:textId="41180D21" w:rsidR="00DF077A" w:rsidRPr="006D4C60" w:rsidRDefault="002135D6" w:rsidP="006D4C60">
      <w:pPr>
        <w:jc w:val="both"/>
        <w:rPr>
          <w:b/>
          <w:bCs/>
        </w:rPr>
      </w:pPr>
      <w:r w:rsidRPr="006D4C60">
        <w:rPr>
          <w:b/>
          <w:bCs/>
        </w:rPr>
        <w:t>ELMÜ laboriarstide sektsiooni tõenduspõhiste laboriuuringute töörühma koos</w:t>
      </w:r>
      <w:r w:rsidR="00334DB3" w:rsidRPr="006D4C60">
        <w:rPr>
          <w:b/>
          <w:bCs/>
        </w:rPr>
        <w:t>s</w:t>
      </w:r>
      <w:r w:rsidRPr="006D4C60">
        <w:rPr>
          <w:b/>
          <w:bCs/>
        </w:rPr>
        <w:t xml:space="preserve">eis ja tööpõhimõtted </w:t>
      </w:r>
    </w:p>
    <w:p w14:paraId="580F090A" w14:textId="52BC7624" w:rsidR="00C970F9" w:rsidRDefault="002135D6" w:rsidP="006D4C60">
      <w:pPr>
        <w:pStyle w:val="ListParagraph"/>
        <w:numPr>
          <w:ilvl w:val="0"/>
          <w:numId w:val="17"/>
        </w:numPr>
        <w:jc w:val="both"/>
      </w:pPr>
      <w:r>
        <w:t xml:space="preserve">Töörühma kuuluvad Eesti erinevates meditsiinilaborites töötavad </w:t>
      </w:r>
      <w:proofErr w:type="spellStart"/>
      <w:r>
        <w:t>laboriarstid</w:t>
      </w:r>
      <w:proofErr w:type="spellEnd"/>
      <w:r>
        <w:t xml:space="preserve"> (Lisa 1 – töörühma liikmete nimekiri)</w:t>
      </w:r>
      <w:r w:rsidR="00E852FB">
        <w:t>.</w:t>
      </w:r>
      <w:r w:rsidR="00246115">
        <w:t xml:space="preserve"> </w:t>
      </w:r>
    </w:p>
    <w:p w14:paraId="7E536E01" w14:textId="73EBB01E" w:rsidR="003313AF" w:rsidRDefault="00246115" w:rsidP="006D4C60">
      <w:pPr>
        <w:pStyle w:val="ListParagraph"/>
        <w:numPr>
          <w:ilvl w:val="0"/>
          <w:numId w:val="17"/>
        </w:numPr>
        <w:jc w:val="both"/>
      </w:pPr>
      <w:r>
        <w:t>Töörühma juh</w:t>
      </w:r>
      <w:r w:rsidR="00AE66E4">
        <w:t xml:space="preserve">i ametiaeg </w:t>
      </w:r>
      <w:r w:rsidR="00AE66E4" w:rsidRPr="009010D8">
        <w:t xml:space="preserve">on </w:t>
      </w:r>
      <w:r w:rsidR="00563EDC" w:rsidRPr="009010D8">
        <w:t>1</w:t>
      </w:r>
      <w:r w:rsidR="00AE66E4" w:rsidRPr="009010D8">
        <w:t xml:space="preserve"> aasta,</w:t>
      </w:r>
      <w:r w:rsidR="00AE66E4">
        <w:t xml:space="preserve"> </w:t>
      </w:r>
      <w:r w:rsidR="00B45139">
        <w:t xml:space="preserve">töörühma juhi kohustus on roteeruv eri </w:t>
      </w:r>
      <w:r w:rsidR="00E2367C">
        <w:t xml:space="preserve">meditsiinilaborite vahel. </w:t>
      </w:r>
    </w:p>
    <w:p w14:paraId="0ED54050" w14:textId="6B55AF74" w:rsidR="002135D6" w:rsidRDefault="002135D6" w:rsidP="006D4C60">
      <w:pPr>
        <w:pStyle w:val="ListParagraph"/>
        <w:numPr>
          <w:ilvl w:val="0"/>
          <w:numId w:val="17"/>
        </w:numPr>
        <w:jc w:val="both"/>
      </w:pPr>
      <w:r>
        <w:t>Töörühma liikmed lähtuvad oma tegevuses erapooletuse printsiibist</w:t>
      </w:r>
      <w:r w:rsidR="008E5D6C">
        <w:t xml:space="preserve"> ja</w:t>
      </w:r>
      <w:r w:rsidR="006D4C60">
        <w:t xml:space="preserve"> </w:t>
      </w:r>
      <w:r>
        <w:t>kasuta</w:t>
      </w:r>
      <w:r w:rsidR="008E5D6C">
        <w:t>vad</w:t>
      </w:r>
      <w:r>
        <w:t xml:space="preserve"> oma teadmisi eksperthinnangu andmiseks laboriuuringu kliinilise tõenduspõhisuse kohta</w:t>
      </w:r>
      <w:r w:rsidR="008E5D6C">
        <w:t>,</w:t>
      </w:r>
      <w:r>
        <w:t xml:space="preserve"> laskmata end mõjutada oma tööandja võimalikest ärihuvidest</w:t>
      </w:r>
      <w:r w:rsidR="008E5D6C">
        <w:t>.</w:t>
      </w:r>
    </w:p>
    <w:p w14:paraId="2946DE2A" w14:textId="43BB0222" w:rsidR="002135D6" w:rsidRDefault="002135D6" w:rsidP="006D4C60">
      <w:pPr>
        <w:pStyle w:val="ListParagraph"/>
        <w:numPr>
          <w:ilvl w:val="0"/>
          <w:numId w:val="17"/>
        </w:numPr>
        <w:jc w:val="both"/>
      </w:pPr>
      <w:r>
        <w:t>Töörühma juht jaotab hinnatavad uuringud ekspertide vahel põhimõttel, et ekspert ei hindaks oma tervishoiuasutuse poolt esitatud LOINC taotlust</w:t>
      </w:r>
      <w:r w:rsidR="008E5D6C">
        <w:t>.</w:t>
      </w:r>
    </w:p>
    <w:p w14:paraId="6444D2F1" w14:textId="2CBD3717" w:rsidR="005305E1" w:rsidRDefault="005305E1" w:rsidP="006D4C60">
      <w:pPr>
        <w:pStyle w:val="ListParagraph"/>
        <w:numPr>
          <w:ilvl w:val="0"/>
          <w:numId w:val="17"/>
        </w:numPr>
        <w:jc w:val="both"/>
      </w:pPr>
      <w:r>
        <w:t>Ekspert edastab töörühma juhile oma otsuse ja põhjenduse hiljemalt järgmise kuu lõpuks või eelnevalt kokkulepitud tähtajaks</w:t>
      </w:r>
      <w:r w:rsidR="008E5D6C">
        <w:t>.</w:t>
      </w:r>
    </w:p>
    <w:p w14:paraId="5C3327D2" w14:textId="752C17FE" w:rsidR="005305E1" w:rsidRDefault="005305E1" w:rsidP="006D4C60">
      <w:pPr>
        <w:pStyle w:val="ListParagraph"/>
        <w:numPr>
          <w:ilvl w:val="0"/>
          <w:numId w:val="17"/>
        </w:numPr>
        <w:jc w:val="both"/>
      </w:pPr>
      <w:r>
        <w:t>Töörühma juht vastutab, et ekspertide otsused oleksid protokollitud ja edastatud LOINC haldurile hiljemalt järgmise kuu lõpuks või eelnevalt kokkulepitud tähtajaks</w:t>
      </w:r>
      <w:r w:rsidR="008E5D6C">
        <w:t>.</w:t>
      </w:r>
    </w:p>
    <w:p w14:paraId="760E3239" w14:textId="797F2E68" w:rsidR="00495136" w:rsidRDefault="00993F15" w:rsidP="008271EE">
      <w:pPr>
        <w:ind w:left="720"/>
        <w:jc w:val="both"/>
      </w:pPr>
      <w:r>
        <w:lastRenderedPageBreak/>
        <w:t>LISA 1 – töörühma liikmete nimekiri</w:t>
      </w:r>
    </w:p>
    <w:p w14:paraId="38272803" w14:textId="57092774" w:rsidR="00993F15" w:rsidRPr="006D4C60" w:rsidRDefault="00993F15" w:rsidP="006D4C60">
      <w:pPr>
        <w:jc w:val="both"/>
        <w:rPr>
          <w:b/>
          <w:bCs/>
        </w:rPr>
      </w:pPr>
      <w:r w:rsidRPr="006D4C60">
        <w:rPr>
          <w:b/>
          <w:bCs/>
        </w:rPr>
        <w:t>Kirjandus</w:t>
      </w:r>
    </w:p>
    <w:p w14:paraId="2E8DEC8E" w14:textId="153B639C" w:rsidR="00A5401F" w:rsidRPr="00D96115" w:rsidRDefault="00993F15" w:rsidP="006D4C60">
      <w:pPr>
        <w:pStyle w:val="ListParagraph"/>
        <w:numPr>
          <w:ilvl w:val="0"/>
          <w:numId w:val="18"/>
        </w:numPr>
        <w:jc w:val="both"/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="00A5401F" w:rsidRPr="00D96115">
        <w:t xml:space="preserve">Morrow, D. A.; de Lemos, J. A. Benchmarks for the Assessment of Novel Cardiovascular Biomarkers. </w:t>
      </w:r>
      <w:r w:rsidR="00A5401F" w:rsidRPr="00063CED">
        <w:rPr>
          <w:i/>
          <w:iCs/>
        </w:rPr>
        <w:t>Circulation</w:t>
      </w:r>
      <w:r w:rsidR="00A5401F" w:rsidRPr="00D96115">
        <w:t xml:space="preserve"> 2007, </w:t>
      </w:r>
      <w:r w:rsidR="00A5401F" w:rsidRPr="00063CED">
        <w:rPr>
          <w:i/>
          <w:iCs/>
        </w:rPr>
        <w:t>115</w:t>
      </w:r>
      <w:r w:rsidR="00A5401F" w:rsidRPr="00D96115">
        <w:t xml:space="preserve"> (8), 949–952.</w:t>
      </w:r>
      <w:r w:rsidR="00AF3E56">
        <w:t xml:space="preserve"> </w:t>
      </w:r>
      <w:r w:rsidR="00A5401F" w:rsidRPr="00D96115">
        <w:t>https://doi.org/10.1161/CIRCULATIONAHA.106.683110.</w:t>
      </w:r>
    </w:p>
    <w:p w14:paraId="6231B268" w14:textId="366419DE" w:rsidR="00AF3E56" w:rsidRDefault="00AF3E56" w:rsidP="006D4C60">
      <w:pPr>
        <w:pStyle w:val="ListParagraph"/>
        <w:numPr>
          <w:ilvl w:val="0"/>
          <w:numId w:val="18"/>
        </w:numPr>
        <w:jc w:val="both"/>
      </w:pPr>
      <w:r w:rsidRPr="00D2714E">
        <w:t xml:space="preserve">S. J. Lord, A. R. Horvath, S. Sandberg, P. J. Monaghan, C. M. Cobbaert, M. Reim, A. Tolios, R. Mueller &amp; P. M. Bossuyton behalf of the EFLM Working Group on Test Evaluation (06 Feb 2025): Is this test fit-for-purpose? Principles and a checklist for evaluating the clinical performance of a test in the new era of </w:t>
      </w:r>
      <w:r w:rsidRPr="00063CED">
        <w:rPr>
          <w:i/>
          <w:iCs/>
        </w:rPr>
        <w:t xml:space="preserve">in vitro </w:t>
      </w:r>
      <w:r w:rsidRPr="00D2714E">
        <w:t>diagnostic (IVD) regulation, Critical Reviews in Clinical Laboratory Sciences, DOI: 10.1080/10408363.2025.2453148</w:t>
      </w:r>
      <w:r w:rsidRPr="00D96115">
        <w:t xml:space="preserve"> </w:t>
      </w:r>
    </w:p>
    <w:p w14:paraId="498A9287" w14:textId="77777777" w:rsidR="0038201F" w:rsidRPr="00A5401F" w:rsidRDefault="0038201F" w:rsidP="0038201F">
      <w:pPr>
        <w:pStyle w:val="ListParagraph"/>
        <w:numPr>
          <w:ilvl w:val="0"/>
          <w:numId w:val="18"/>
        </w:numPr>
        <w:jc w:val="both"/>
      </w:pPr>
      <w:r w:rsidRPr="00813D1C">
        <w:t>EP19. CLSI EP19-Ed3, A Framework for Using CLSI Documents to Evaluate Medical Laboratory Test, 2022</w:t>
      </w:r>
    </w:p>
    <w:p w14:paraId="15B8CDD8" w14:textId="249ADC97" w:rsidR="00A5401F" w:rsidRDefault="00A5401F" w:rsidP="006D4C60">
      <w:pPr>
        <w:pStyle w:val="ListParagraph"/>
        <w:numPr>
          <w:ilvl w:val="0"/>
          <w:numId w:val="18"/>
        </w:numPr>
        <w:jc w:val="both"/>
      </w:pPr>
      <w:r w:rsidRPr="00D96115">
        <w:t xml:space="preserve">Bakker, E.; Hendrikse, N. M.; Ehmann, F.; van der Meer, D. S.; Llinares Garcia, J.; Vetter, T.; Starokozhko, V.; Mol, P. G. M. Biomarker Qualification at the European Medicines Agency: A Review of Biomarker Qualification Procedures From 2008 to 2020. </w:t>
      </w:r>
      <w:r w:rsidRPr="00063CED">
        <w:rPr>
          <w:i/>
          <w:iCs/>
        </w:rPr>
        <w:t>Clin Pharmacol Ther</w:t>
      </w:r>
      <w:r w:rsidRPr="00D96115">
        <w:t xml:space="preserve"> </w:t>
      </w:r>
      <w:r w:rsidRPr="001E10BE">
        <w:t>2022</w:t>
      </w:r>
      <w:r w:rsidRPr="00D96115">
        <w:t xml:space="preserve">, </w:t>
      </w:r>
      <w:r w:rsidRPr="00063CED">
        <w:rPr>
          <w:i/>
          <w:iCs/>
        </w:rPr>
        <w:t>112</w:t>
      </w:r>
      <w:r w:rsidRPr="00D96115">
        <w:t xml:space="preserve"> (1), 69–80. https://doi.org/10.1002/cpt.2554.</w:t>
      </w:r>
    </w:p>
    <w:p w14:paraId="383C947B" w14:textId="088D033E" w:rsidR="00993F15" w:rsidRDefault="00993F15" w:rsidP="008271EE">
      <w:pPr>
        <w:jc w:val="both"/>
      </w:pPr>
      <w:r>
        <w:fldChar w:fldCharType="end"/>
      </w:r>
    </w:p>
    <w:p w14:paraId="3CD7F9F0" w14:textId="77777777" w:rsidR="00D2714E" w:rsidRDefault="00D2714E" w:rsidP="008271EE">
      <w:pPr>
        <w:jc w:val="both"/>
      </w:pPr>
    </w:p>
    <w:sectPr w:rsidR="00D2714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5609" w14:textId="77777777" w:rsidR="00FF152C" w:rsidRDefault="00FF152C" w:rsidP="00F355E1">
      <w:pPr>
        <w:spacing w:after="0" w:line="240" w:lineRule="auto"/>
      </w:pPr>
      <w:r>
        <w:separator/>
      </w:r>
    </w:p>
  </w:endnote>
  <w:endnote w:type="continuationSeparator" w:id="0">
    <w:p w14:paraId="0D80756E" w14:textId="77777777" w:rsidR="00FF152C" w:rsidRDefault="00FF152C" w:rsidP="00F3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 Pro Semi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AFEA" w14:textId="77777777" w:rsidR="00FF152C" w:rsidRDefault="00FF152C" w:rsidP="00F355E1">
      <w:pPr>
        <w:spacing w:after="0" w:line="240" w:lineRule="auto"/>
      </w:pPr>
      <w:r>
        <w:separator/>
      </w:r>
    </w:p>
  </w:footnote>
  <w:footnote w:type="continuationSeparator" w:id="0">
    <w:p w14:paraId="13F7ACE2" w14:textId="77777777" w:rsidR="00FF152C" w:rsidRDefault="00FF152C" w:rsidP="00F3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CD60A" w14:textId="18E7057E" w:rsidR="00F355E1" w:rsidRDefault="00F355E1" w:rsidP="00F355E1">
    <w:pPr>
      <w:pStyle w:val="Header"/>
      <w:jc w:val="right"/>
    </w:pPr>
    <w:r>
      <w:rPr>
        <w:color w:val="7F7F7F" w:themeColor="text1" w:themeTint="80"/>
      </w:rPr>
      <w:t>Kinnitatud Eesti Laborimeditsiini Ühingu juhatuses 21.04.2025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95A"/>
    <w:multiLevelType w:val="hybridMultilevel"/>
    <w:tmpl w:val="CEA4F5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CEC"/>
    <w:multiLevelType w:val="hybridMultilevel"/>
    <w:tmpl w:val="F9C0CE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3F1F"/>
    <w:multiLevelType w:val="hybridMultilevel"/>
    <w:tmpl w:val="8D7667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28E3"/>
    <w:multiLevelType w:val="hybridMultilevel"/>
    <w:tmpl w:val="A73ADE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37AE"/>
    <w:multiLevelType w:val="hybridMultilevel"/>
    <w:tmpl w:val="A64C43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DF6"/>
    <w:multiLevelType w:val="hybridMultilevel"/>
    <w:tmpl w:val="7EA284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77FA6"/>
    <w:multiLevelType w:val="hybridMultilevel"/>
    <w:tmpl w:val="A738AB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360A6"/>
    <w:multiLevelType w:val="hybridMultilevel"/>
    <w:tmpl w:val="1340DA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96D"/>
    <w:multiLevelType w:val="hybridMultilevel"/>
    <w:tmpl w:val="8B42C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F4404"/>
    <w:multiLevelType w:val="multilevel"/>
    <w:tmpl w:val="33548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15E3310"/>
    <w:multiLevelType w:val="hybridMultilevel"/>
    <w:tmpl w:val="2C066FD6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60F8C"/>
    <w:multiLevelType w:val="hybridMultilevel"/>
    <w:tmpl w:val="4810EA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76FF1"/>
    <w:multiLevelType w:val="hybridMultilevel"/>
    <w:tmpl w:val="A5E015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E741C"/>
    <w:multiLevelType w:val="hybridMultilevel"/>
    <w:tmpl w:val="18EA07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E5D50"/>
    <w:multiLevelType w:val="hybridMultilevel"/>
    <w:tmpl w:val="226858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97043"/>
    <w:multiLevelType w:val="hybridMultilevel"/>
    <w:tmpl w:val="169E1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C19EE"/>
    <w:multiLevelType w:val="hybridMultilevel"/>
    <w:tmpl w:val="EC8077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11923"/>
    <w:multiLevelType w:val="hybridMultilevel"/>
    <w:tmpl w:val="0FEAD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860E4"/>
    <w:multiLevelType w:val="hybridMultilevel"/>
    <w:tmpl w:val="B7689D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450380">
    <w:abstractNumId w:val="9"/>
  </w:num>
  <w:num w:numId="2" w16cid:durableId="1951163079">
    <w:abstractNumId w:val="0"/>
  </w:num>
  <w:num w:numId="3" w16cid:durableId="2112234366">
    <w:abstractNumId w:val="12"/>
  </w:num>
  <w:num w:numId="4" w16cid:durableId="424419854">
    <w:abstractNumId w:val="7"/>
  </w:num>
  <w:num w:numId="5" w16cid:durableId="187065266">
    <w:abstractNumId w:val="4"/>
  </w:num>
  <w:num w:numId="6" w16cid:durableId="827864813">
    <w:abstractNumId w:val="16"/>
  </w:num>
  <w:num w:numId="7" w16cid:durableId="1670863350">
    <w:abstractNumId w:val="17"/>
  </w:num>
  <w:num w:numId="8" w16cid:durableId="1048915100">
    <w:abstractNumId w:val="3"/>
  </w:num>
  <w:num w:numId="9" w16cid:durableId="1035810279">
    <w:abstractNumId w:val="6"/>
  </w:num>
  <w:num w:numId="10" w16cid:durableId="394623592">
    <w:abstractNumId w:val="14"/>
  </w:num>
  <w:num w:numId="11" w16cid:durableId="867258366">
    <w:abstractNumId w:val="2"/>
  </w:num>
  <w:num w:numId="12" w16cid:durableId="1460997694">
    <w:abstractNumId w:val="5"/>
  </w:num>
  <w:num w:numId="13" w16cid:durableId="537012990">
    <w:abstractNumId w:val="1"/>
  </w:num>
  <w:num w:numId="14" w16cid:durableId="1861581406">
    <w:abstractNumId w:val="8"/>
  </w:num>
  <w:num w:numId="15" w16cid:durableId="679434477">
    <w:abstractNumId w:val="13"/>
  </w:num>
  <w:num w:numId="16" w16cid:durableId="1599213570">
    <w:abstractNumId w:val="15"/>
  </w:num>
  <w:num w:numId="17" w16cid:durableId="1549762471">
    <w:abstractNumId w:val="18"/>
  </w:num>
  <w:num w:numId="18" w16cid:durableId="133570716">
    <w:abstractNumId w:val="11"/>
  </w:num>
  <w:num w:numId="19" w16cid:durableId="1414358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B2"/>
    <w:rsid w:val="00012851"/>
    <w:rsid w:val="00063CED"/>
    <w:rsid w:val="00071DF7"/>
    <w:rsid w:val="0008452A"/>
    <w:rsid w:val="000A3C10"/>
    <w:rsid w:val="000B12FF"/>
    <w:rsid w:val="000C1C00"/>
    <w:rsid w:val="000D2421"/>
    <w:rsid w:val="000D567B"/>
    <w:rsid w:val="000D58F3"/>
    <w:rsid w:val="000D6A81"/>
    <w:rsid w:val="000E1459"/>
    <w:rsid w:val="000E4422"/>
    <w:rsid w:val="000F61C2"/>
    <w:rsid w:val="0010038E"/>
    <w:rsid w:val="00104D5F"/>
    <w:rsid w:val="0011477E"/>
    <w:rsid w:val="00122406"/>
    <w:rsid w:val="001240FF"/>
    <w:rsid w:val="00142A1F"/>
    <w:rsid w:val="00142A5A"/>
    <w:rsid w:val="001434E5"/>
    <w:rsid w:val="00143DFC"/>
    <w:rsid w:val="001502E9"/>
    <w:rsid w:val="001810C8"/>
    <w:rsid w:val="00195FC7"/>
    <w:rsid w:val="001C0681"/>
    <w:rsid w:val="001C5A54"/>
    <w:rsid w:val="001D37FB"/>
    <w:rsid w:val="001E10BE"/>
    <w:rsid w:val="001E4509"/>
    <w:rsid w:val="001E6B2B"/>
    <w:rsid w:val="00206E40"/>
    <w:rsid w:val="0021112B"/>
    <w:rsid w:val="002111CB"/>
    <w:rsid w:val="002135D6"/>
    <w:rsid w:val="00225257"/>
    <w:rsid w:val="00246115"/>
    <w:rsid w:val="00246128"/>
    <w:rsid w:val="00246CC8"/>
    <w:rsid w:val="00251E57"/>
    <w:rsid w:val="002762F6"/>
    <w:rsid w:val="00281BE8"/>
    <w:rsid w:val="00284254"/>
    <w:rsid w:val="00285536"/>
    <w:rsid w:val="00294F43"/>
    <w:rsid w:val="002A328B"/>
    <w:rsid w:val="002B057D"/>
    <w:rsid w:val="002F1696"/>
    <w:rsid w:val="00310FFB"/>
    <w:rsid w:val="003148D5"/>
    <w:rsid w:val="00314E99"/>
    <w:rsid w:val="00323546"/>
    <w:rsid w:val="0032397E"/>
    <w:rsid w:val="003313AF"/>
    <w:rsid w:val="003331FC"/>
    <w:rsid w:val="00334684"/>
    <w:rsid w:val="00334DB3"/>
    <w:rsid w:val="00346F4C"/>
    <w:rsid w:val="003522CC"/>
    <w:rsid w:val="00352F56"/>
    <w:rsid w:val="00356451"/>
    <w:rsid w:val="00362302"/>
    <w:rsid w:val="0036708D"/>
    <w:rsid w:val="00370FE1"/>
    <w:rsid w:val="0038201F"/>
    <w:rsid w:val="0039795F"/>
    <w:rsid w:val="003E4434"/>
    <w:rsid w:val="003E4FE5"/>
    <w:rsid w:val="003F24BE"/>
    <w:rsid w:val="003F3136"/>
    <w:rsid w:val="004032F0"/>
    <w:rsid w:val="00403E01"/>
    <w:rsid w:val="004100B0"/>
    <w:rsid w:val="00417A8C"/>
    <w:rsid w:val="0042768A"/>
    <w:rsid w:val="004458B1"/>
    <w:rsid w:val="00446094"/>
    <w:rsid w:val="00460CCC"/>
    <w:rsid w:val="00482F60"/>
    <w:rsid w:val="00495136"/>
    <w:rsid w:val="004A0272"/>
    <w:rsid w:val="004E4CB2"/>
    <w:rsid w:val="004F367D"/>
    <w:rsid w:val="004F3749"/>
    <w:rsid w:val="0050093D"/>
    <w:rsid w:val="00502D14"/>
    <w:rsid w:val="00513EFC"/>
    <w:rsid w:val="00513F84"/>
    <w:rsid w:val="0052367C"/>
    <w:rsid w:val="00527F74"/>
    <w:rsid w:val="005305E1"/>
    <w:rsid w:val="00530E37"/>
    <w:rsid w:val="00532EB5"/>
    <w:rsid w:val="0054318D"/>
    <w:rsid w:val="00552D43"/>
    <w:rsid w:val="0055548E"/>
    <w:rsid w:val="005556B7"/>
    <w:rsid w:val="0055663A"/>
    <w:rsid w:val="005615BE"/>
    <w:rsid w:val="00563EDC"/>
    <w:rsid w:val="005709BC"/>
    <w:rsid w:val="00576931"/>
    <w:rsid w:val="00580D59"/>
    <w:rsid w:val="0058640D"/>
    <w:rsid w:val="0059267A"/>
    <w:rsid w:val="0059400D"/>
    <w:rsid w:val="005A0380"/>
    <w:rsid w:val="005A2CD0"/>
    <w:rsid w:val="005A53CD"/>
    <w:rsid w:val="005B09ED"/>
    <w:rsid w:val="005B489F"/>
    <w:rsid w:val="005B4F89"/>
    <w:rsid w:val="005C4551"/>
    <w:rsid w:val="005E1012"/>
    <w:rsid w:val="005E5E46"/>
    <w:rsid w:val="00607FD7"/>
    <w:rsid w:val="006314E9"/>
    <w:rsid w:val="00645322"/>
    <w:rsid w:val="006456E2"/>
    <w:rsid w:val="00665C3C"/>
    <w:rsid w:val="00682EB0"/>
    <w:rsid w:val="00683610"/>
    <w:rsid w:val="00685DAB"/>
    <w:rsid w:val="006975E8"/>
    <w:rsid w:val="006A0961"/>
    <w:rsid w:val="006A7843"/>
    <w:rsid w:val="006B3700"/>
    <w:rsid w:val="006C2AD6"/>
    <w:rsid w:val="006D1D41"/>
    <w:rsid w:val="006D4C60"/>
    <w:rsid w:val="006E466F"/>
    <w:rsid w:val="006E5477"/>
    <w:rsid w:val="006E5C53"/>
    <w:rsid w:val="006F47F5"/>
    <w:rsid w:val="006F5345"/>
    <w:rsid w:val="00732973"/>
    <w:rsid w:val="00733141"/>
    <w:rsid w:val="007438E9"/>
    <w:rsid w:val="00747562"/>
    <w:rsid w:val="00757929"/>
    <w:rsid w:val="0076673B"/>
    <w:rsid w:val="007725FF"/>
    <w:rsid w:val="00773CE6"/>
    <w:rsid w:val="0079038A"/>
    <w:rsid w:val="0079088F"/>
    <w:rsid w:val="00795DEA"/>
    <w:rsid w:val="007A716C"/>
    <w:rsid w:val="007B245D"/>
    <w:rsid w:val="007B6581"/>
    <w:rsid w:val="007C7CCD"/>
    <w:rsid w:val="007E1214"/>
    <w:rsid w:val="007E1902"/>
    <w:rsid w:val="007F646E"/>
    <w:rsid w:val="007F78A3"/>
    <w:rsid w:val="008019C8"/>
    <w:rsid w:val="00802751"/>
    <w:rsid w:val="00813D1C"/>
    <w:rsid w:val="008266B3"/>
    <w:rsid w:val="008271EE"/>
    <w:rsid w:val="00827E42"/>
    <w:rsid w:val="00834241"/>
    <w:rsid w:val="00842CD9"/>
    <w:rsid w:val="00843EAE"/>
    <w:rsid w:val="00876B83"/>
    <w:rsid w:val="0088476B"/>
    <w:rsid w:val="008929D0"/>
    <w:rsid w:val="00893447"/>
    <w:rsid w:val="0089602D"/>
    <w:rsid w:val="008A1091"/>
    <w:rsid w:val="008A1DDC"/>
    <w:rsid w:val="008A247A"/>
    <w:rsid w:val="008B7CE0"/>
    <w:rsid w:val="008E30E7"/>
    <w:rsid w:val="008E5D6C"/>
    <w:rsid w:val="008F293C"/>
    <w:rsid w:val="009008FC"/>
    <w:rsid w:val="009010D8"/>
    <w:rsid w:val="00902EFD"/>
    <w:rsid w:val="00904944"/>
    <w:rsid w:val="009167A2"/>
    <w:rsid w:val="00923AFE"/>
    <w:rsid w:val="0092701E"/>
    <w:rsid w:val="00945A7D"/>
    <w:rsid w:val="0095220E"/>
    <w:rsid w:val="0097298C"/>
    <w:rsid w:val="0098238C"/>
    <w:rsid w:val="00993F15"/>
    <w:rsid w:val="00997E40"/>
    <w:rsid w:val="009A7EC4"/>
    <w:rsid w:val="009C043F"/>
    <w:rsid w:val="009C2790"/>
    <w:rsid w:val="009D5C43"/>
    <w:rsid w:val="009D6596"/>
    <w:rsid w:val="009E1599"/>
    <w:rsid w:val="009E46CA"/>
    <w:rsid w:val="009E6A2C"/>
    <w:rsid w:val="009F6CAD"/>
    <w:rsid w:val="00A30696"/>
    <w:rsid w:val="00A40B10"/>
    <w:rsid w:val="00A40D5C"/>
    <w:rsid w:val="00A5401F"/>
    <w:rsid w:val="00A549F2"/>
    <w:rsid w:val="00A6346D"/>
    <w:rsid w:val="00A63EF6"/>
    <w:rsid w:val="00A71736"/>
    <w:rsid w:val="00A7787A"/>
    <w:rsid w:val="00A77EAA"/>
    <w:rsid w:val="00A81BA2"/>
    <w:rsid w:val="00A923CF"/>
    <w:rsid w:val="00A976E8"/>
    <w:rsid w:val="00AA79F9"/>
    <w:rsid w:val="00AB4A64"/>
    <w:rsid w:val="00AB609F"/>
    <w:rsid w:val="00AD1451"/>
    <w:rsid w:val="00AD4BFD"/>
    <w:rsid w:val="00AE01F4"/>
    <w:rsid w:val="00AE66E4"/>
    <w:rsid w:val="00AE6806"/>
    <w:rsid w:val="00AF244C"/>
    <w:rsid w:val="00AF3E56"/>
    <w:rsid w:val="00B02C02"/>
    <w:rsid w:val="00B11395"/>
    <w:rsid w:val="00B25000"/>
    <w:rsid w:val="00B3166D"/>
    <w:rsid w:val="00B3479C"/>
    <w:rsid w:val="00B34962"/>
    <w:rsid w:val="00B34CE3"/>
    <w:rsid w:val="00B37118"/>
    <w:rsid w:val="00B37A1F"/>
    <w:rsid w:val="00B44982"/>
    <w:rsid w:val="00B45139"/>
    <w:rsid w:val="00B64BDE"/>
    <w:rsid w:val="00B77C66"/>
    <w:rsid w:val="00BA1C49"/>
    <w:rsid w:val="00BA664B"/>
    <w:rsid w:val="00BA7D70"/>
    <w:rsid w:val="00BB0348"/>
    <w:rsid w:val="00BB116D"/>
    <w:rsid w:val="00BB65F2"/>
    <w:rsid w:val="00BB7690"/>
    <w:rsid w:val="00BD1077"/>
    <w:rsid w:val="00C17111"/>
    <w:rsid w:val="00C24684"/>
    <w:rsid w:val="00C40453"/>
    <w:rsid w:val="00C4568E"/>
    <w:rsid w:val="00C47297"/>
    <w:rsid w:val="00C53188"/>
    <w:rsid w:val="00C5442F"/>
    <w:rsid w:val="00C569D1"/>
    <w:rsid w:val="00C61763"/>
    <w:rsid w:val="00C653AC"/>
    <w:rsid w:val="00C82AF8"/>
    <w:rsid w:val="00C9218D"/>
    <w:rsid w:val="00C932D8"/>
    <w:rsid w:val="00C939C9"/>
    <w:rsid w:val="00C9536F"/>
    <w:rsid w:val="00C970F9"/>
    <w:rsid w:val="00CB37B6"/>
    <w:rsid w:val="00CB60D6"/>
    <w:rsid w:val="00CB7164"/>
    <w:rsid w:val="00CC121E"/>
    <w:rsid w:val="00CC734B"/>
    <w:rsid w:val="00CD016D"/>
    <w:rsid w:val="00CE6014"/>
    <w:rsid w:val="00CF5462"/>
    <w:rsid w:val="00D03265"/>
    <w:rsid w:val="00D073F1"/>
    <w:rsid w:val="00D17961"/>
    <w:rsid w:val="00D20798"/>
    <w:rsid w:val="00D245B9"/>
    <w:rsid w:val="00D2714E"/>
    <w:rsid w:val="00D271A1"/>
    <w:rsid w:val="00D521E7"/>
    <w:rsid w:val="00D62489"/>
    <w:rsid w:val="00D7101C"/>
    <w:rsid w:val="00D81138"/>
    <w:rsid w:val="00D828B1"/>
    <w:rsid w:val="00D95A61"/>
    <w:rsid w:val="00D96115"/>
    <w:rsid w:val="00DA6987"/>
    <w:rsid w:val="00DB1669"/>
    <w:rsid w:val="00DB1BB6"/>
    <w:rsid w:val="00DC21EF"/>
    <w:rsid w:val="00DC2599"/>
    <w:rsid w:val="00DD11F8"/>
    <w:rsid w:val="00DE626E"/>
    <w:rsid w:val="00DF077A"/>
    <w:rsid w:val="00DF16E2"/>
    <w:rsid w:val="00DF1C26"/>
    <w:rsid w:val="00DF3D25"/>
    <w:rsid w:val="00E05655"/>
    <w:rsid w:val="00E2303C"/>
    <w:rsid w:val="00E2367C"/>
    <w:rsid w:val="00E30594"/>
    <w:rsid w:val="00E362C4"/>
    <w:rsid w:val="00E54FF6"/>
    <w:rsid w:val="00E65FA5"/>
    <w:rsid w:val="00E74F6E"/>
    <w:rsid w:val="00E8152E"/>
    <w:rsid w:val="00E840BB"/>
    <w:rsid w:val="00E852FB"/>
    <w:rsid w:val="00E856F8"/>
    <w:rsid w:val="00EA000C"/>
    <w:rsid w:val="00EC337D"/>
    <w:rsid w:val="00EC69AF"/>
    <w:rsid w:val="00ED351F"/>
    <w:rsid w:val="00ED3988"/>
    <w:rsid w:val="00F100D7"/>
    <w:rsid w:val="00F33960"/>
    <w:rsid w:val="00F355E1"/>
    <w:rsid w:val="00F36B25"/>
    <w:rsid w:val="00F378EA"/>
    <w:rsid w:val="00F469ED"/>
    <w:rsid w:val="00F525B2"/>
    <w:rsid w:val="00F53BDC"/>
    <w:rsid w:val="00F61F27"/>
    <w:rsid w:val="00F774CB"/>
    <w:rsid w:val="00F962A7"/>
    <w:rsid w:val="00F96BFA"/>
    <w:rsid w:val="00FA42A9"/>
    <w:rsid w:val="00FA64EB"/>
    <w:rsid w:val="00FB3BCC"/>
    <w:rsid w:val="00FB4264"/>
    <w:rsid w:val="00FC0253"/>
    <w:rsid w:val="00FC063D"/>
    <w:rsid w:val="00FC6EC0"/>
    <w:rsid w:val="00FD0F09"/>
    <w:rsid w:val="00FD733D"/>
    <w:rsid w:val="00FE32EF"/>
    <w:rsid w:val="00FF152C"/>
    <w:rsid w:val="00FF46BE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B366"/>
  <w15:chartTrackingRefBased/>
  <w15:docId w15:val="{9AD26299-FE80-4ED7-822C-9BCBC689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0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D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6B25"/>
    <w:pPr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993F15"/>
    <w:pPr>
      <w:tabs>
        <w:tab w:val="left" w:pos="504"/>
      </w:tabs>
      <w:spacing w:after="0" w:line="240" w:lineRule="auto"/>
      <w:ind w:left="504" w:hanging="504"/>
    </w:pPr>
  </w:style>
  <w:style w:type="paragraph" w:customStyle="1" w:styleId="Pa22">
    <w:name w:val="Pa22"/>
    <w:basedOn w:val="Normal"/>
    <w:next w:val="Normal"/>
    <w:uiPriority w:val="99"/>
    <w:rsid w:val="00D2714E"/>
    <w:pPr>
      <w:autoSpaceDE w:val="0"/>
      <w:autoSpaceDN w:val="0"/>
      <w:adjustRightInd w:val="0"/>
      <w:spacing w:after="0" w:line="240" w:lineRule="auto"/>
    </w:pPr>
    <w:rPr>
      <w:rFonts w:ascii="Myriad Pro SemiCond" w:hAnsi="Myriad Pro SemiCon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5E1"/>
  </w:style>
  <w:style w:type="paragraph" w:styleId="Footer">
    <w:name w:val="footer"/>
    <w:basedOn w:val="Normal"/>
    <w:link w:val="FooterChar"/>
    <w:uiPriority w:val="99"/>
    <w:unhideWhenUsed/>
    <w:rsid w:val="00F35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7001ae-3316-40a1-b1b1-232fc708f6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0975890B1B2458438EE2D5CF266F0" ma:contentTypeVersion="18" ma:contentTypeDescription="Create a new document." ma:contentTypeScope="" ma:versionID="acafe6864a34d06d24230fc7cd3fb7e3">
  <xsd:schema xmlns:xsd="http://www.w3.org/2001/XMLSchema" xmlns:xs="http://www.w3.org/2001/XMLSchema" xmlns:p="http://schemas.microsoft.com/office/2006/metadata/properties" xmlns:ns3="037001ae-3316-40a1-b1b1-232fc708f6f5" xmlns:ns4="e6ef167c-a119-4deb-b0bb-a88d485d778f" targetNamespace="http://schemas.microsoft.com/office/2006/metadata/properties" ma:root="true" ma:fieldsID="e34a135f8f9db003d9fc4041e73f9a62" ns3:_="" ns4:_="">
    <xsd:import namespace="037001ae-3316-40a1-b1b1-232fc708f6f5"/>
    <xsd:import namespace="e6ef167c-a119-4deb-b0bb-a88d485d7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001ae-3316-40a1-b1b1-232fc708f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f167c-a119-4deb-b0bb-a88d485d7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EBB9-FF26-49FB-9FF6-8A604B1E4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8C2E7-3284-4915-B1B2-38D9F7266F42}">
  <ds:schemaRefs>
    <ds:schemaRef ds:uri="http://schemas.microsoft.com/office/2006/metadata/properties"/>
    <ds:schemaRef ds:uri="http://schemas.microsoft.com/office/infopath/2007/PartnerControls"/>
    <ds:schemaRef ds:uri="037001ae-3316-40a1-b1b1-232fc708f6f5"/>
  </ds:schemaRefs>
</ds:datastoreItem>
</file>

<file path=customXml/itemProps3.xml><?xml version="1.0" encoding="utf-8"?>
<ds:datastoreItem xmlns:ds="http://schemas.openxmlformats.org/officeDocument/2006/customXml" ds:itemID="{35FAA4C3-7EE8-4BAD-9903-FBE70811A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001ae-3316-40a1-b1b1-232fc708f6f5"/>
    <ds:schemaRef ds:uri="e6ef167c-a119-4deb-b0bb-a88d485d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0C4B4-5C04-4910-A821-1AA3D9C1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1221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PERH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Kütt - PERH</dc:creator>
  <cp:keywords/>
  <dc:description/>
  <cp:lastModifiedBy>Maarit Veski</cp:lastModifiedBy>
  <cp:revision>3</cp:revision>
  <dcterms:created xsi:type="dcterms:W3CDTF">2025-04-21T05:59:00Z</dcterms:created>
  <dcterms:modified xsi:type="dcterms:W3CDTF">2025-04-21T11:48:00Z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0x0101004850975890B1B2458438EE2D5CF266F0</vt:lpwstr>
  </property>
  <property fmtid="{D5CDD505-2E9C-101B-9397-08002B2CF9AE}" pid="3" name="ZOTERO_PREF_1">
    <vt:lpwstr>&lt;data data-version="3" zotero-version="6.0.23"&gt;&lt;session id="JJgiMDdF"/&gt;&lt;style id="http://www.zotero.org/styles/american-chemical-society" hasBibliography="1" bibliographyStyleHasBeenSet="1"/&gt;&lt;prefs&gt;&lt;pref name="fieldType" value="Field"/&gt;&lt;/prefs&gt;&lt;/data&gt;</vt:lpwstr>
  </property>
</Properties>
</file>